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br w:type="textWrapping"/>
      </w: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890"/>
        <w:gridCol w:w="435"/>
        <w:gridCol w:w="990"/>
        <w:gridCol w:w="2115"/>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lang w:eastAsia="zh-CN"/>
              </w:rPr>
            </w:pPr>
            <w:r>
              <w:rPr>
                <w:rFonts w:hint="eastAsia" w:ascii="Times New Roman" w:hAnsi="Times New Roman" w:eastAsia="方正楷体_GBK" w:cs="Times New Roman"/>
                <w:color w:val="000000"/>
                <w:szCs w:val="21"/>
                <w:highlight w:val="none"/>
                <w:lang w:val="en-US" w:eastAsia="zh-CN"/>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（乌经开）应急罚〔2022〕3-11 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highlight w:val="none"/>
                <w:lang w:val="en-US" w:eastAsia="zh-CN"/>
              </w:rPr>
              <w:t>新疆一开电气制造有限公司未建立健全并落实生产安全事故隐患排查治理制度案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未落实生产安全事故隐患排查治理制度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《中华人民共和国安全生产法》第九十七条第五项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新疆一开电气制造有限公司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916501007637695984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330382</w:t>
            </w:r>
            <w:r>
              <w:rPr>
                <w:rFonts w:hint="eastAsia" w:ascii="Times New Roman" w:hAnsi="Times New Roman" w:eastAsia="方正楷体_GBK" w:cs="Times New Roman"/>
                <w:color w:val="000000"/>
                <w:szCs w:val="21"/>
                <w:highlight w:val="none"/>
                <w:lang w:val="en-US" w:eastAsia="zh-CN"/>
              </w:rPr>
              <w:t>**********</w:t>
            </w:r>
            <w:r>
              <w:rPr>
                <w:rFonts w:hint="default" w:ascii="Times New Roman" w:hAnsi="Times New Roman" w:eastAsia="方正楷体_GBK" w:cs="Times New Roman"/>
                <w:color w:val="000000"/>
                <w:szCs w:val="21"/>
                <w:highlight w:val="none"/>
                <w:lang w:val="en-US" w:eastAsia="zh-CN"/>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徐勇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处人民币叁万伍仟元整的行政处罚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2022年05月09日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890"/>
        <w:gridCol w:w="435"/>
        <w:gridCol w:w="990"/>
        <w:gridCol w:w="2115"/>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lang w:eastAsia="zh-CN"/>
              </w:rPr>
            </w:pPr>
            <w:r>
              <w:rPr>
                <w:rFonts w:hint="eastAsia" w:ascii="Times New Roman" w:hAnsi="Times New Roman" w:eastAsia="方正楷体_GBK" w:cs="Times New Roman"/>
                <w:color w:val="000000"/>
                <w:szCs w:val="21"/>
                <w:highlight w:val="none"/>
                <w:lang w:val="en-US" w:eastAsia="zh-CN"/>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（乌经开）应急罚〔2022〕3-12 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highlight w:val="none"/>
                <w:lang w:val="en-US" w:eastAsia="zh-CN"/>
              </w:rPr>
              <w:t>新疆金马王家居用品有限公司未建立安全风险分级管控制度案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未建立并落实安全生产风险分级管控制度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《中华人民共和国安全生产法》第一百零一条第四项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新疆金马王家居用品有限公司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91650100MA776BL534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511023</w:t>
            </w:r>
            <w:r>
              <w:rPr>
                <w:rFonts w:hint="eastAsia" w:ascii="Times New Roman" w:hAnsi="Times New Roman" w:eastAsia="方正楷体_GBK" w:cs="Times New Roman"/>
                <w:color w:val="000000"/>
                <w:szCs w:val="21"/>
                <w:highlight w:val="none"/>
                <w:lang w:val="en-US" w:eastAsia="zh-CN"/>
              </w:rPr>
              <w:t>**********</w:t>
            </w:r>
            <w:r>
              <w:rPr>
                <w:rFonts w:hint="default" w:ascii="Times New Roman" w:hAnsi="Times New Roman" w:eastAsia="方正楷体_GBK" w:cs="Times New Roman"/>
                <w:color w:val="000000"/>
                <w:szCs w:val="21"/>
                <w:highlight w:val="none"/>
                <w:lang w:val="en-US" w:eastAsia="zh-CN"/>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黄兵</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处人民币贰万壹仟元整的行政处罚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2022年05月09日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
    <w:p>
      <w:pPr>
        <w:pStyle w:val="2"/>
      </w:pPr>
    </w:p>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890"/>
        <w:gridCol w:w="435"/>
        <w:gridCol w:w="990"/>
        <w:gridCol w:w="2115"/>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（乌经开）应急罚〔2022〕3-13 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highlight w:val="none"/>
                <w:lang w:val="en-US" w:eastAsia="zh-CN"/>
              </w:rPr>
              <w:t>新疆汇通风电设备股份有限公司特种作业人员未取得特种资格证违规上岗案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电焊工特种作业证过期未复审已失效</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《中华人民共和国安全生产法》第九十七条第七项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新疆汇通风电设备股份有限公司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916501007981983779</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650103</w:t>
            </w:r>
            <w:r>
              <w:rPr>
                <w:rFonts w:hint="eastAsia" w:ascii="Times New Roman" w:hAnsi="Times New Roman" w:eastAsia="方正楷体_GBK" w:cs="Times New Roman"/>
                <w:color w:val="000000"/>
                <w:szCs w:val="21"/>
                <w:highlight w:val="none"/>
                <w:lang w:val="en-US" w:eastAsia="zh-CN"/>
              </w:rPr>
              <w:t>**********</w:t>
            </w:r>
            <w:r>
              <w:rPr>
                <w:rFonts w:hint="default" w:ascii="Times New Roman" w:hAnsi="Times New Roman" w:eastAsia="方正楷体_GBK" w:cs="Times New Roman"/>
                <w:color w:val="000000"/>
                <w:szCs w:val="21"/>
                <w:highlight w:val="none"/>
                <w:lang w:val="en-US" w:eastAsia="zh-CN"/>
              </w:rPr>
              <w:t>3X</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徐建平</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处人民币叁万伍仟元整的行政处罚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2022年05月23日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890"/>
        <w:gridCol w:w="435"/>
        <w:gridCol w:w="990"/>
        <w:gridCol w:w="2115"/>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（乌经开）应急罚〔2022〕3-14 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highlight w:val="none"/>
                <w:lang w:val="en-US" w:eastAsia="zh-CN"/>
              </w:rPr>
              <w:t>乌鲁木齐市鑫瑞丰节能材料有限公司未建立安全风险分级管控制度案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未建立并落实安全风险分级管控和隐患排查治理制度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《中华人民共和国安全生产法》第一百零一条第四项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乌鲁木齐市鑫瑞丰节能材料有限公司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91650100697846224G</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654001</w:t>
            </w:r>
            <w:r>
              <w:rPr>
                <w:rFonts w:hint="eastAsia" w:ascii="Times New Roman" w:hAnsi="Times New Roman" w:eastAsia="方正楷体_GBK" w:cs="Times New Roman"/>
                <w:color w:val="000000"/>
                <w:szCs w:val="21"/>
                <w:highlight w:val="none"/>
                <w:lang w:val="en-US" w:eastAsia="zh-CN"/>
              </w:rPr>
              <w:t>**********</w:t>
            </w:r>
            <w:r>
              <w:rPr>
                <w:rFonts w:hint="default" w:ascii="Times New Roman" w:hAnsi="Times New Roman" w:eastAsia="方正楷体_GBK" w:cs="Times New Roman"/>
                <w:color w:val="000000"/>
                <w:szCs w:val="21"/>
                <w:highlight w:val="none"/>
                <w:lang w:val="en-US" w:eastAsia="zh-CN"/>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王铎</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处人民币叁万伍仟元整的行政处罚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2022年05月23日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
      <w:pPr>
        <w:pStyle w:val="2"/>
      </w:pPr>
    </w:p>
    <w:p/>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890"/>
        <w:gridCol w:w="435"/>
        <w:gridCol w:w="990"/>
        <w:gridCol w:w="2115"/>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（乌经开）应急罚〔2022〕2-8 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highlight w:val="none"/>
                <w:lang w:val="en-US" w:eastAsia="zh-CN"/>
              </w:rPr>
              <w:t>新疆西尔丹食品有限公司未及时排查生产安全事故隐患、未督促落实本单位安全生 产整改违法案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未及时排查并消除生产安全事故隐患</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《中华人民共和国安全生产法》第一百零二条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新疆西尔丹食品有限公司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91650106773462960D</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652301</w:t>
            </w:r>
            <w:r>
              <w:rPr>
                <w:rFonts w:hint="eastAsia" w:ascii="Times New Roman" w:hAnsi="Times New Roman" w:eastAsia="方正楷体_GBK" w:cs="Times New Roman"/>
                <w:color w:val="000000"/>
                <w:szCs w:val="21"/>
                <w:highlight w:val="none"/>
                <w:lang w:val="en-US" w:eastAsia="zh-CN"/>
              </w:rPr>
              <w:t>**********</w:t>
            </w:r>
            <w:r>
              <w:rPr>
                <w:rFonts w:hint="default" w:ascii="Times New Roman" w:hAnsi="Times New Roman" w:eastAsia="方正楷体_GBK" w:cs="Times New Roman"/>
                <w:color w:val="000000"/>
                <w:szCs w:val="21"/>
                <w:highlight w:val="none"/>
                <w:lang w:val="en-US" w:eastAsia="zh-CN"/>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程华</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处人民币贰万伍仟元整的行政处罚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2022年05月23日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
      <w:pPr>
        <w:pStyle w:val="2"/>
      </w:pPr>
    </w:p>
    <w:p/>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890"/>
        <w:gridCol w:w="435"/>
        <w:gridCol w:w="990"/>
        <w:gridCol w:w="2115"/>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（乌经开）应急罚〔2022〕2-9 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rPr>
              <w:t>新疆金富博石油钢管有限公司安全生产隐患管理类违法行为案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未及时排查并消除生产安全事故隐患</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《中华人民共和国安全生产法》第一百零二条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新疆金富博石油钢管有限公司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91650106095509933B</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120223</w:t>
            </w:r>
            <w:r>
              <w:rPr>
                <w:rFonts w:hint="eastAsia" w:ascii="Times New Roman" w:hAnsi="Times New Roman" w:eastAsia="方正楷体_GBK" w:cs="Times New Roman"/>
                <w:color w:val="000000"/>
                <w:szCs w:val="21"/>
                <w:highlight w:val="none"/>
                <w:lang w:val="en-US" w:eastAsia="zh-CN"/>
              </w:rPr>
              <w:t>**********</w:t>
            </w:r>
            <w:r>
              <w:rPr>
                <w:rFonts w:hint="default" w:ascii="Times New Roman" w:hAnsi="Times New Roman" w:eastAsia="方正楷体_GBK" w:cs="Times New Roman"/>
                <w:color w:val="000000"/>
                <w:szCs w:val="21"/>
                <w:highlight w:val="none"/>
                <w:lang w:val="en-US" w:eastAsia="zh-CN"/>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刘树成</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处人民币壹万伍仟元整的行政处罚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2022年05月23日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
      <w:pPr>
        <w:pStyle w:val="2"/>
      </w:pPr>
    </w:p>
    <w:p/>
    <w:p>
      <w:pPr>
        <w:jc w:val="center"/>
        <w:rPr>
          <w:rFonts w:ascii="方正小标宋简体" w:hAnsi="方正小标宋简体" w:eastAsia="方正小标宋简体" w:cs="方正小标宋简体"/>
          <w:color w:val="FFFFFF" w:themeColor="background1"/>
          <w:sz w:val="36"/>
          <w:szCs w:val="36"/>
          <w14:textFill>
            <w14:solidFill>
              <w14:schemeClr w14:val="bg1"/>
            </w14:solidFill>
          </w14:textFill>
        </w:rPr>
      </w:pP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2</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05</w:t>
      </w:r>
      <w:r>
        <w:rPr>
          <w:rFonts w:hint="eastAsia" w:ascii="方正小标宋简体" w:hAnsi="方正小标宋简体" w:eastAsia="方正小标宋简体" w:cs="方正小标宋简体"/>
          <w:color w:val="000000"/>
          <w:kern w:val="0"/>
          <w:sz w:val="36"/>
          <w:szCs w:val="36"/>
          <w:lang w:bidi="ar"/>
        </w:rPr>
        <w:t>月行政处罚事项公示</w:t>
      </w:r>
    </w:p>
    <w:tbl>
      <w:tblPr>
        <w:tblStyle w:val="5"/>
        <w:tblW w:w="15255" w:type="dxa"/>
        <w:tblInd w:w="-843" w:type="dxa"/>
        <w:tblLayout w:type="fixed"/>
        <w:tblCellMar>
          <w:top w:w="15" w:type="dxa"/>
          <w:left w:w="15" w:type="dxa"/>
          <w:bottom w:w="15" w:type="dxa"/>
          <w:right w:w="15" w:type="dxa"/>
        </w:tblCellMar>
      </w:tblPr>
      <w:tblGrid>
        <w:gridCol w:w="555"/>
        <w:gridCol w:w="975"/>
        <w:gridCol w:w="1693"/>
        <w:gridCol w:w="528"/>
        <w:gridCol w:w="2172"/>
        <w:gridCol w:w="1037"/>
        <w:gridCol w:w="1140"/>
        <w:gridCol w:w="525"/>
        <w:gridCol w:w="465"/>
        <w:gridCol w:w="750"/>
        <w:gridCol w:w="525"/>
        <w:gridCol w:w="930"/>
        <w:gridCol w:w="1125"/>
        <w:gridCol w:w="600"/>
        <w:gridCol w:w="750"/>
        <w:gridCol w:w="915"/>
        <w:gridCol w:w="570"/>
      </w:tblGrid>
      <w:tr>
        <w:tblPrEx>
          <w:tblLayout w:type="fixed"/>
          <w:tblCellMar>
            <w:top w:w="15" w:type="dxa"/>
            <w:left w:w="15" w:type="dxa"/>
            <w:bottom w:w="15" w:type="dxa"/>
            <w:right w:w="15" w:type="dxa"/>
          </w:tblCellMar>
        </w:tblPrEx>
        <w:trPr>
          <w:trHeight w:val="82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行政处罚决定书文号</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处罚名称</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处罚类别</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处罚事由</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处罚依据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行政相对人名称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统一社会信用代码</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居民身份证号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法定代表人姓名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结果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处罚生</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效期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处罚机关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当前状态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地方</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编码</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数据更</w:t>
            </w:r>
          </w:p>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Layout w:type="fixed"/>
          <w:tblCellMar>
            <w:top w:w="15" w:type="dxa"/>
            <w:left w:w="15" w:type="dxa"/>
            <w:bottom w:w="15" w:type="dxa"/>
            <w:right w:w="15" w:type="dxa"/>
          </w:tblCellMar>
        </w:tblPrEx>
        <w:trPr>
          <w:trHeight w:val="4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（乌经开）应急罚〔2022〕1-11 号</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rPr>
            </w:pPr>
            <w:r>
              <w:rPr>
                <w:rFonts w:hint="eastAsia" w:ascii="Times New Roman" w:hAnsi="Times New Roman" w:eastAsia="方正楷体_GBK" w:cs="Times New Roman"/>
                <w:color w:val="000000"/>
                <w:szCs w:val="21"/>
                <w:highlight w:val="none"/>
                <w:lang w:val="en-US" w:eastAsia="zh-CN"/>
              </w:rPr>
              <w:t>新疆中油化工集团有限公司隐患到期整改不合格案</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lang w:val="en-US" w:eastAsia="zh-CN"/>
              </w:rPr>
              <w:t>罚款</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复查时，发现该公司仍然存在未提供根据事故对应急预案修订后的评审记录；“未 提供有效版本操作规程”，操作规程仅有人员审核、审批签字，无具体的发布日期；仅建立腐蚀 检测台账，尚未建立储罐防腐蚀检测数据库，并对腐蚀状况进行分析；火灾控制系统控制室内 已设置控制器操作说明书、台账及分布图，但分布图中无具体手动 火灾报警按钮编号；现场公 路卸车泵房、公路泵房外小泵棚拆除机泵设备没有执行公司拆除管理制度”，仅补充 相关的变 更审批，未对责任人进行考核，并对相关人员进行教育等问题未整改到位</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《安全生产事故隐患排查治理暂行规定》第二十六条第六项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rPr>
              <w:t>新疆中油化工集团有限公司</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91650106745234098E</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 xml:space="preserve"> 650102</w:t>
            </w:r>
            <w:r>
              <w:rPr>
                <w:rFonts w:hint="eastAsia" w:ascii="Times New Roman" w:hAnsi="Times New Roman" w:eastAsia="方正楷体_GBK" w:cs="Times New Roman"/>
                <w:color w:val="000000"/>
                <w:szCs w:val="21"/>
                <w:highlight w:val="none"/>
                <w:lang w:val="en-US" w:eastAsia="zh-CN"/>
              </w:rPr>
              <w:t>**********</w:t>
            </w:r>
            <w:bookmarkStart w:id="0" w:name="_GoBack"/>
            <w:bookmarkEnd w:id="0"/>
            <w:r>
              <w:rPr>
                <w:rFonts w:hint="default" w:ascii="Times New Roman" w:hAnsi="Times New Roman" w:eastAsia="方正楷体_GBK" w:cs="Times New Roman"/>
                <w:color w:val="000000"/>
                <w:szCs w:val="21"/>
                <w:highlight w:val="none"/>
                <w:lang w:val="en-US" w:eastAsia="zh-CN"/>
              </w:rPr>
              <w:t>1X</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highlight w:val="none"/>
                <w:lang w:val="en-US" w:eastAsia="zh-CN"/>
              </w:rPr>
            </w:pPr>
            <w:r>
              <w:rPr>
                <w:rFonts w:hint="default" w:ascii="Times New Roman" w:hAnsi="Times New Roman" w:eastAsia="方正楷体_GBK" w:cs="Times New Roman"/>
                <w:color w:val="000000"/>
                <w:szCs w:val="21"/>
                <w:highlight w:val="none"/>
                <w:lang w:val="en-US" w:eastAsia="zh-CN"/>
              </w:rPr>
              <w:t>吴军</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方正楷体_GBK" w:cs="Times New Roman"/>
                <w:color w:val="000000"/>
                <w:szCs w:val="21"/>
                <w:highlight w:val="none"/>
                <w:lang w:val="en-US" w:eastAsia="zh-CN"/>
              </w:rPr>
            </w:pPr>
            <w:r>
              <w:rPr>
                <w:rFonts w:hint="eastAsia" w:ascii="Times New Roman" w:hAnsi="Times New Roman" w:eastAsia="方正楷体_GBK" w:cs="Times New Roman"/>
                <w:color w:val="000000"/>
                <w:szCs w:val="21"/>
                <w:highlight w:val="none"/>
                <w:lang w:val="en-US" w:eastAsia="zh-CN"/>
              </w:rPr>
              <w:t>处人民币贰万柒仟元整的行政处罚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方正楷体_GBK" w:cs="Times New Roman"/>
                <w:color w:val="000000"/>
                <w:szCs w:val="21"/>
                <w:lang w:val="en-US" w:eastAsia="zh-CN"/>
              </w:rPr>
            </w:pPr>
            <w:r>
              <w:rPr>
                <w:rFonts w:hint="eastAsia" w:ascii="Times New Roman" w:hAnsi="Times New Roman" w:eastAsia="方正楷体_GBK" w:cs="Times New Roman"/>
                <w:color w:val="000000"/>
                <w:szCs w:val="21"/>
                <w:lang w:val="en-US" w:eastAsia="zh-CN"/>
              </w:rPr>
              <w:t>2022年05月26日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乌鲁木齐市经济技术开发区（乌鲁木齐市头屯河区）应急管理局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正常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ascii="Times New Roman" w:hAnsi="Times New Roman" w:eastAsia="方正仿宋_GBK"/>
                <w:kern w:val="0"/>
                <w:szCs w:val="21"/>
                <w:highlight w:val="none"/>
                <w:u w:val="none"/>
              </w:rPr>
              <w:t>65010</w:t>
            </w:r>
            <w:r>
              <w:rPr>
                <w:rFonts w:hint="eastAsia" w:ascii="Times New Roman" w:hAnsi="Times New Roman" w:eastAsia="方正仿宋_GBK"/>
                <w:kern w:val="0"/>
                <w:szCs w:val="21"/>
                <w:highlight w:val="none"/>
                <w:u w:val="none"/>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r>
              <w:rPr>
                <w:rFonts w:hint="eastAsia" w:ascii="Times New Roman" w:hAnsi="Times New Roman" w:eastAsia="方正楷体_GBK" w:cs="Times New Roman"/>
                <w:color w:val="000000"/>
                <w:szCs w:val="21"/>
                <w:highlight w:val="none"/>
                <w:u w:val="none"/>
                <w:lang w:val="en-US" w:eastAsia="zh-CN"/>
              </w:rPr>
              <w:t>2022年05月31日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方正楷体_GBK" w:cs="Times New Roman"/>
                <w:color w:val="000000"/>
                <w:szCs w:val="21"/>
              </w:rPr>
            </w:pPr>
          </w:p>
        </w:tc>
      </w:tr>
    </w:tbl>
    <w:p>
      <w:pPr>
        <w:pStyle w:val="2"/>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7655"/>
    <w:rsid w:val="00172A27"/>
    <w:rsid w:val="00B81712"/>
    <w:rsid w:val="00C62B99"/>
    <w:rsid w:val="02516851"/>
    <w:rsid w:val="04F757F4"/>
    <w:rsid w:val="075B01D8"/>
    <w:rsid w:val="0A042D5D"/>
    <w:rsid w:val="0DE0492F"/>
    <w:rsid w:val="0F452738"/>
    <w:rsid w:val="0FC84B7C"/>
    <w:rsid w:val="0FFD33E3"/>
    <w:rsid w:val="100B22B5"/>
    <w:rsid w:val="16615FED"/>
    <w:rsid w:val="185913EB"/>
    <w:rsid w:val="1D7A4396"/>
    <w:rsid w:val="1E2D110C"/>
    <w:rsid w:val="21C36B27"/>
    <w:rsid w:val="255F1A3C"/>
    <w:rsid w:val="27423BE3"/>
    <w:rsid w:val="2F860C89"/>
    <w:rsid w:val="3534114D"/>
    <w:rsid w:val="35E0057E"/>
    <w:rsid w:val="37894459"/>
    <w:rsid w:val="379F564A"/>
    <w:rsid w:val="3A3E0873"/>
    <w:rsid w:val="45CD2891"/>
    <w:rsid w:val="48B35420"/>
    <w:rsid w:val="49014F5D"/>
    <w:rsid w:val="4D8F1372"/>
    <w:rsid w:val="51F94801"/>
    <w:rsid w:val="59F8385B"/>
    <w:rsid w:val="5AB3233C"/>
    <w:rsid w:val="5B9358D4"/>
    <w:rsid w:val="5E255B32"/>
    <w:rsid w:val="5F85783E"/>
    <w:rsid w:val="639930D8"/>
    <w:rsid w:val="64106942"/>
    <w:rsid w:val="668E7ACA"/>
    <w:rsid w:val="69F27B34"/>
    <w:rsid w:val="6B5026A4"/>
    <w:rsid w:val="7273614A"/>
    <w:rsid w:val="72F748FF"/>
    <w:rsid w:val="79830127"/>
    <w:rsid w:val="7A1F2B8C"/>
    <w:rsid w:val="7B7E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方正楷体_GBK"/>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Words>
  <Characters>145</Characters>
  <Lines>1</Lines>
  <Paragraphs>1</Paragraphs>
  <TotalTime>0</TotalTime>
  <ScaleCrop>false</ScaleCrop>
  <LinksUpToDate>false</LinksUpToDate>
  <CharactersWithSpaces>169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2020-05-27T02:56:00Z</dcterms:created>
  <dc:creator>ღ.外婆家老榆树下的鱼</dc:creator>
  <cp:lastModifiedBy>许可柔</cp:lastModifiedBy>
  <cp:lastPrinted>2022-06-02T03:14:00Z</cp:lastPrinted>
  <dcterms:modified xsi:type="dcterms:W3CDTF">2022-06-02T04:22:43Z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